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4278" w14:textId="15782BEE" w:rsidR="00705B3C" w:rsidRDefault="00052776">
      <w:pPr>
        <w:rPr>
          <w:b/>
          <w:bCs/>
        </w:rPr>
      </w:pPr>
      <w:r>
        <w:rPr>
          <w:b/>
          <w:bCs/>
        </w:rPr>
        <w:t xml:space="preserve">Fact-checking Chesa Boudin’s NowThis </w:t>
      </w:r>
      <w:hyperlink r:id="rId4" w:history="1">
        <w:r w:rsidRPr="00052776">
          <w:rPr>
            <w:rStyle w:val="Hyperlink"/>
            <w:b/>
            <w:bCs/>
          </w:rPr>
          <w:t>Video</w:t>
        </w:r>
      </w:hyperlink>
    </w:p>
    <w:p w14:paraId="33157197" w14:textId="09C2CCAF" w:rsidR="00052776" w:rsidRPr="00904D80" w:rsidRDefault="00904D80">
      <w:bookmarkStart w:id="0" w:name="_GoBack"/>
      <w:r w:rsidRPr="00904D80">
        <w:t>Remy Reya</w:t>
      </w:r>
    </w:p>
    <w:bookmarkEnd w:id="0"/>
    <w:p w14:paraId="5AF7B1AD" w14:textId="77777777" w:rsidR="00904D80" w:rsidRDefault="00904D80">
      <w:pPr>
        <w:rPr>
          <w:b/>
          <w:bCs/>
        </w:rPr>
      </w:pPr>
    </w:p>
    <w:p w14:paraId="4FE92368" w14:textId="7750D2A0" w:rsidR="00B61054" w:rsidRDefault="002A4DBA">
      <w:r w:rsidRPr="002A4DBA">
        <w:t>On October 14, 2019</w:t>
      </w:r>
      <w:r>
        <w:t xml:space="preserve">, a Facebook page called NowThis posted a video entitled </w:t>
      </w:r>
      <w:r w:rsidRPr="002A4DBA">
        <w:t>“SF District Attorney Candidate Chesa Boudin On Criminal Justice Reform</w:t>
      </w:r>
      <w:r>
        <w:t>”. The clip</w:t>
      </w:r>
      <w:r w:rsidR="00A10695">
        <w:t xml:space="preserve"> </w:t>
      </w:r>
      <w:r>
        <w:t>serves to introduce the candidate to the channel’s 15 million followers</w:t>
      </w:r>
      <w:r w:rsidR="002C1EFB">
        <w:t>, with a focus on his personal relationship with the criminal justice system and how it informs his perspectives on policy.</w:t>
      </w:r>
      <w:r w:rsidR="00A10695">
        <w:t xml:space="preserve"> Throughout the five-minute video, Boudin makes several claims about the criminal justice system </w:t>
      </w:r>
      <w:r w:rsidR="00B94A9F">
        <w:t>and</w:t>
      </w:r>
      <w:r w:rsidR="00A10695">
        <w:t xml:space="preserve"> the American public, some of which merit </w:t>
      </w:r>
      <w:r w:rsidR="00E87B8A">
        <w:t>further investigation</w:t>
      </w:r>
      <w:r w:rsidR="00B61054">
        <w:t>.</w:t>
      </w:r>
    </w:p>
    <w:p w14:paraId="72E4B7EF" w14:textId="77777777" w:rsidR="002A4DBA" w:rsidRDefault="002A4DBA">
      <w:pPr>
        <w:rPr>
          <w:b/>
          <w:bCs/>
        </w:rPr>
      </w:pPr>
    </w:p>
    <w:p w14:paraId="19C43242" w14:textId="39C24427" w:rsidR="00A62CCD" w:rsidRPr="00A62CCD" w:rsidRDefault="00052776">
      <w:pPr>
        <w:rPr>
          <w:i/>
          <w:iCs w:val="0"/>
        </w:rPr>
      </w:pPr>
      <w:r w:rsidRPr="00BC3847">
        <w:rPr>
          <w:i/>
          <w:iCs w:val="0"/>
        </w:rPr>
        <w:t>“The majority of Americans have a</w:t>
      </w:r>
      <w:r w:rsidR="00AF2077">
        <w:rPr>
          <w:i/>
          <w:iCs w:val="0"/>
        </w:rPr>
        <w:t>n immediate</w:t>
      </w:r>
      <w:r w:rsidRPr="00BC3847">
        <w:rPr>
          <w:i/>
          <w:iCs w:val="0"/>
        </w:rPr>
        <w:t xml:space="preserve"> family member who is either currently or formerly incarcerated.”</w:t>
      </w:r>
      <w:r w:rsidR="007A730E">
        <w:rPr>
          <w:i/>
          <w:iCs w:val="0"/>
        </w:rPr>
        <w:t xml:space="preserve"> (0:06-0:12)</w:t>
      </w:r>
    </w:p>
    <w:p w14:paraId="2F78A7E4" w14:textId="77777777" w:rsidR="00A62CCD" w:rsidRDefault="00A62CCD"/>
    <w:p w14:paraId="25509932" w14:textId="7A5CD79C" w:rsidR="00707BA6" w:rsidRDefault="00707BA6">
      <w:r>
        <w:t xml:space="preserve">Boudin has made similar claims in the past – in </w:t>
      </w:r>
      <w:r w:rsidR="00CF789D">
        <w:t>an</w:t>
      </w:r>
      <w:r>
        <w:t xml:space="preserve"> </w:t>
      </w:r>
      <w:hyperlink r:id="rId5" w:history="1">
        <w:r w:rsidRPr="00707BA6">
          <w:rPr>
            <w:rStyle w:val="Hyperlink"/>
          </w:rPr>
          <w:t>op-ed</w:t>
        </w:r>
      </w:hyperlink>
      <w:r>
        <w:t xml:space="preserve"> for the </w:t>
      </w:r>
      <w:r>
        <w:rPr>
          <w:i/>
          <w:iCs w:val="0"/>
        </w:rPr>
        <w:t>Los Angeles Times</w:t>
      </w:r>
      <w:r>
        <w:t>, he identified himself as “</w:t>
      </w:r>
      <w:r w:rsidRPr="00707BA6">
        <w:t>one of the more than half of Americans with an immediate family member currently or formerly incarcerated.</w:t>
      </w:r>
      <w:r w:rsidR="00CD1492">
        <w:t xml:space="preserve">” </w:t>
      </w:r>
      <w:r w:rsidR="00FD6449">
        <w:t>In both cases, his statements assume that over half of all Americans have an immediate family member who has spent time in jail or prison.</w:t>
      </w:r>
      <w:r w:rsidR="00701ED3">
        <w:t xml:space="preserve"> But does the data back him up?</w:t>
      </w:r>
    </w:p>
    <w:p w14:paraId="663D64E5" w14:textId="77777777" w:rsidR="00707BA6" w:rsidRDefault="00707BA6"/>
    <w:p w14:paraId="67488B6C" w14:textId="2011CEF6" w:rsidR="00E75850" w:rsidRDefault="00B61054">
      <w:pPr>
        <w:rPr>
          <w:rFonts w:eastAsia="Times New Roman"/>
          <w:iCs w:val="0"/>
        </w:rPr>
      </w:pPr>
      <w:r>
        <w:t xml:space="preserve">In a </w:t>
      </w:r>
      <w:r w:rsidR="00842DBC">
        <w:t xml:space="preserve">December </w:t>
      </w:r>
      <w:r>
        <w:t xml:space="preserve">2018 </w:t>
      </w:r>
      <w:hyperlink r:id="rId6" w:history="1">
        <w:r w:rsidRPr="00842DBC">
          <w:rPr>
            <w:rStyle w:val="Hyperlink"/>
          </w:rPr>
          <w:t>report</w:t>
        </w:r>
      </w:hyperlink>
      <w:r>
        <w:t xml:space="preserve"> called “Every Second: The Impact of the Incarceration Crisis on America’s Families”, researchers from Cornell University worked with FWD.us to publish detailed statistics on the reach of mass incarceration in the United States.</w:t>
      </w:r>
      <w:r w:rsidR="00FA5E48">
        <w:t xml:space="preserve"> Among their key findings, they indicated that “</w:t>
      </w:r>
      <w:r w:rsidR="00FA5E48" w:rsidRPr="00B61054">
        <w:rPr>
          <w:rFonts w:eastAsia="Times New Roman"/>
          <w:iCs w:val="0"/>
        </w:rPr>
        <w:t>approximately one in two adults (approximately 113 million people) has had an immediate family member incarcerated for at least one night in jail or prison</w:t>
      </w:r>
      <w:r w:rsidR="00FA5E48">
        <w:rPr>
          <w:rFonts w:eastAsia="Times New Roman"/>
          <w:iCs w:val="0"/>
        </w:rPr>
        <w:t>”</w:t>
      </w:r>
      <w:r w:rsidR="00AF35F8">
        <w:rPr>
          <w:rFonts w:eastAsia="Times New Roman"/>
          <w:iCs w:val="0"/>
        </w:rPr>
        <w:t xml:space="preserve"> (10).</w:t>
      </w:r>
      <w:r w:rsidR="00E75850">
        <w:rPr>
          <w:rFonts w:eastAsia="Times New Roman"/>
          <w:iCs w:val="0"/>
        </w:rPr>
        <w:t xml:space="preserve"> </w:t>
      </w:r>
    </w:p>
    <w:p w14:paraId="22F88AE0" w14:textId="77777777" w:rsidR="00E75850" w:rsidRDefault="00E75850">
      <w:pPr>
        <w:rPr>
          <w:rFonts w:eastAsia="Times New Roman"/>
          <w:iCs w:val="0"/>
        </w:rPr>
      </w:pPr>
    </w:p>
    <w:p w14:paraId="23CFFBDD" w14:textId="355B2E47" w:rsidR="002979BF" w:rsidRPr="00AF35F8" w:rsidRDefault="00E75850">
      <w:pPr>
        <w:rPr>
          <w:rFonts w:eastAsia="Times New Roman"/>
          <w:iCs w:val="0"/>
        </w:rPr>
      </w:pPr>
      <w:r>
        <w:rPr>
          <w:rFonts w:eastAsia="Times New Roman"/>
          <w:iCs w:val="0"/>
        </w:rPr>
        <w:t xml:space="preserve">Census Bureau </w:t>
      </w:r>
      <w:hyperlink r:id="rId7" w:history="1">
        <w:r w:rsidRPr="00743999">
          <w:rPr>
            <w:rStyle w:val="Hyperlink"/>
            <w:rFonts w:eastAsia="Times New Roman"/>
            <w:iCs w:val="0"/>
          </w:rPr>
          <w:t>population estimates</w:t>
        </w:r>
      </w:hyperlink>
      <w:r>
        <w:rPr>
          <w:rFonts w:eastAsia="Times New Roman"/>
          <w:iCs w:val="0"/>
        </w:rPr>
        <w:t xml:space="preserve"> from July 2018 indicate that the total population of the United States is </w:t>
      </w:r>
      <w:r w:rsidRPr="00E75850">
        <w:rPr>
          <w:rFonts w:eastAsia="Times New Roman"/>
          <w:iCs w:val="0"/>
        </w:rPr>
        <w:t>327,167,434</w:t>
      </w:r>
      <w:r>
        <w:rPr>
          <w:rFonts w:eastAsia="Times New Roman"/>
          <w:iCs w:val="0"/>
        </w:rPr>
        <w:t xml:space="preserve">. </w:t>
      </w:r>
      <w:r w:rsidR="004024C0">
        <w:rPr>
          <w:rFonts w:eastAsia="Times New Roman"/>
          <w:iCs w:val="0"/>
        </w:rPr>
        <w:t xml:space="preserve">Within this statistic, </w:t>
      </w:r>
      <w:r>
        <w:rPr>
          <w:rFonts w:eastAsia="Times New Roman"/>
          <w:iCs w:val="0"/>
        </w:rPr>
        <w:t xml:space="preserve">22.4% </w:t>
      </w:r>
      <w:r w:rsidR="004024C0">
        <w:rPr>
          <w:rFonts w:eastAsia="Times New Roman"/>
          <w:iCs w:val="0"/>
        </w:rPr>
        <w:t xml:space="preserve">are </w:t>
      </w:r>
      <w:r>
        <w:rPr>
          <w:rFonts w:eastAsia="Times New Roman"/>
          <w:iCs w:val="0"/>
        </w:rPr>
        <w:t xml:space="preserve">minors (under 18 years of age), meaning that 77.6% </w:t>
      </w:r>
      <w:r w:rsidR="001A337B">
        <w:rPr>
          <w:rFonts w:eastAsia="Times New Roman"/>
          <w:iCs w:val="0"/>
        </w:rPr>
        <w:t xml:space="preserve">of the total population – or </w:t>
      </w:r>
      <w:r>
        <w:rPr>
          <w:rFonts w:eastAsia="Times New Roman"/>
          <w:iCs w:val="0"/>
        </w:rPr>
        <w:t>253,881,928</w:t>
      </w:r>
      <w:r w:rsidR="001A337B">
        <w:rPr>
          <w:rFonts w:eastAsia="Times New Roman"/>
          <w:iCs w:val="0"/>
        </w:rPr>
        <w:t xml:space="preserve"> people in the U.S. – are adults. 113 million is about 44.5%</w:t>
      </w:r>
      <w:r w:rsidR="00722A6E">
        <w:rPr>
          <w:rFonts w:eastAsia="Times New Roman"/>
          <w:iCs w:val="0"/>
        </w:rPr>
        <w:t xml:space="preserve"> </w:t>
      </w:r>
      <w:r w:rsidR="00106CFC">
        <w:rPr>
          <w:rFonts w:eastAsia="Times New Roman"/>
          <w:iCs w:val="0"/>
        </w:rPr>
        <w:t>of 254 million</w:t>
      </w:r>
      <w:r w:rsidR="008264C1">
        <w:rPr>
          <w:rFonts w:eastAsia="Times New Roman"/>
          <w:iCs w:val="0"/>
        </w:rPr>
        <w:t xml:space="preserve">, so the </w:t>
      </w:r>
      <w:r w:rsidR="00532D49">
        <w:rPr>
          <w:rFonts w:eastAsia="Times New Roman"/>
          <w:iCs w:val="0"/>
        </w:rPr>
        <w:t>assertion that 1 in 2 adults is affected is</w:t>
      </w:r>
      <w:r w:rsidR="0020518D">
        <w:rPr>
          <w:rFonts w:eastAsia="Times New Roman"/>
          <w:iCs w:val="0"/>
        </w:rPr>
        <w:t xml:space="preserve"> roughly accurate.</w:t>
      </w:r>
    </w:p>
    <w:p w14:paraId="50EF930E" w14:textId="77777777" w:rsidR="00B61054" w:rsidRDefault="00B61054"/>
    <w:p w14:paraId="4593276C" w14:textId="42CBEA32" w:rsidR="00052776" w:rsidRPr="00400607" w:rsidRDefault="002979BF">
      <w:r>
        <w:t xml:space="preserve">More recent </w:t>
      </w:r>
      <w:hyperlink r:id="rId8" w:history="1">
        <w:r w:rsidRPr="00A56A7B">
          <w:rPr>
            <w:rStyle w:val="Hyperlink"/>
          </w:rPr>
          <w:t>research</w:t>
        </w:r>
      </w:hyperlink>
      <w:r>
        <w:t xml:space="preserve"> from Cornell, published in </w:t>
      </w:r>
      <w:r w:rsidR="00BC3847">
        <w:t xml:space="preserve">March of 2019, </w:t>
      </w:r>
      <w:r>
        <w:t>shows</w:t>
      </w:r>
      <w:r w:rsidR="00B8613E">
        <w:t xml:space="preserve"> </w:t>
      </w:r>
      <w:r w:rsidR="00B55DB9">
        <w:t xml:space="preserve">survey results </w:t>
      </w:r>
      <w:r w:rsidR="0023666D">
        <w:t xml:space="preserve">indicating </w:t>
      </w:r>
      <w:r w:rsidR="00B55DB9">
        <w:t xml:space="preserve">that around 64% of </w:t>
      </w:r>
      <w:r w:rsidR="00B3404E">
        <w:t>Americans</w:t>
      </w:r>
      <w:r w:rsidR="00B55DB9">
        <w:t xml:space="preserve"> </w:t>
      </w:r>
      <w:r w:rsidR="00B3404E">
        <w:t>have had</w:t>
      </w:r>
      <w:r w:rsidR="00B55DB9">
        <w:t xml:space="preserve"> an</w:t>
      </w:r>
      <w:r w:rsidR="009C5E7F">
        <w:t xml:space="preserve">y family </w:t>
      </w:r>
      <w:r w:rsidR="00B55DB9">
        <w:t>member incarcerated (</w:t>
      </w:r>
      <w:r>
        <w:t>6</w:t>
      </w:r>
      <w:r w:rsidR="00B55DB9">
        <w:t>)</w:t>
      </w:r>
      <w:r w:rsidR="00400607">
        <w:t xml:space="preserve"> – but that only 45% of Americans have ever had an </w:t>
      </w:r>
      <w:r w:rsidR="00400607">
        <w:rPr>
          <w:i/>
          <w:iCs w:val="0"/>
        </w:rPr>
        <w:t>immediate</w:t>
      </w:r>
      <w:r w:rsidR="00400607">
        <w:t xml:space="preserve"> family member in jail or prison (5).</w:t>
      </w:r>
      <w:r w:rsidR="00C52D7C">
        <w:t xml:space="preserve"> </w:t>
      </w:r>
      <w:r w:rsidR="0008094A">
        <w:t>This statistic</w:t>
      </w:r>
      <w:r w:rsidR="00C52D7C">
        <w:t xml:space="preserve"> reflects the findings from the earlier study.</w:t>
      </w:r>
    </w:p>
    <w:p w14:paraId="4BA729C2" w14:textId="31B069EB" w:rsidR="000E6549" w:rsidRDefault="000E6549"/>
    <w:p w14:paraId="57DC37B5" w14:textId="6DBDB87F" w:rsidR="00823963" w:rsidRPr="0013778D" w:rsidRDefault="00C34982">
      <w:r w:rsidRPr="00D33A2D">
        <w:rPr>
          <w:b/>
          <w:bCs/>
        </w:rPr>
        <w:t xml:space="preserve">These findings show that Boudin’s claim </w:t>
      </w:r>
      <w:r w:rsidR="00D33A2D">
        <w:rPr>
          <w:b/>
          <w:bCs/>
        </w:rPr>
        <w:t xml:space="preserve">about incarceration </w:t>
      </w:r>
      <w:r w:rsidRPr="00D33A2D">
        <w:rPr>
          <w:b/>
          <w:bCs/>
        </w:rPr>
        <w:t>i</w:t>
      </w:r>
      <w:r w:rsidR="008D6277" w:rsidRPr="00D33A2D">
        <w:rPr>
          <w:b/>
          <w:bCs/>
        </w:rPr>
        <w:t xml:space="preserve">s </w:t>
      </w:r>
      <w:r w:rsidR="00BC739C" w:rsidRPr="00D33A2D">
        <w:rPr>
          <w:b/>
          <w:bCs/>
        </w:rPr>
        <w:t>somewhat false</w:t>
      </w:r>
      <w:r w:rsidR="008D6277" w:rsidRPr="00D33A2D">
        <w:rPr>
          <w:b/>
          <w:bCs/>
        </w:rPr>
        <w:t>.</w:t>
      </w:r>
      <w:r w:rsidR="008D6277">
        <w:t xml:space="preserve"> If he had broadened his claim to include extended family members, he could have justifiably </w:t>
      </w:r>
      <w:r w:rsidR="00C42477">
        <w:t xml:space="preserve">asserted that a majority of Americans are affected. Alternatively, changing his phrasing from “the majority” to “around half” of Americans </w:t>
      </w:r>
      <w:r w:rsidR="00835553">
        <w:t>would have rooted his statement in research.</w:t>
      </w:r>
    </w:p>
    <w:p w14:paraId="367CB5EC" w14:textId="695BEE88" w:rsidR="00052776" w:rsidRDefault="00052776"/>
    <w:p w14:paraId="06DAC268" w14:textId="7A32FD6B" w:rsidR="00052776" w:rsidRDefault="00052776">
      <w:pPr>
        <w:rPr>
          <w:i/>
          <w:iCs w:val="0"/>
        </w:rPr>
      </w:pPr>
      <w:r w:rsidRPr="00CE64C4">
        <w:rPr>
          <w:i/>
          <w:iCs w:val="0"/>
        </w:rPr>
        <w:t>“We’ve got thousands and thousands of different kind</w:t>
      </w:r>
      <w:r w:rsidR="0042178D">
        <w:rPr>
          <w:i/>
          <w:iCs w:val="0"/>
        </w:rPr>
        <w:t>s</w:t>
      </w:r>
      <w:r w:rsidRPr="00CE64C4">
        <w:rPr>
          <w:i/>
          <w:iCs w:val="0"/>
        </w:rPr>
        <w:t xml:space="preserve"> of conduct that are criminalized in tremendous detail. And for virtually all of them, the punishment is the same: some amount of time in a cage.”</w:t>
      </w:r>
      <w:r w:rsidR="00661242">
        <w:rPr>
          <w:i/>
          <w:iCs w:val="0"/>
        </w:rPr>
        <w:t xml:space="preserve"> (3:08-3:17)</w:t>
      </w:r>
    </w:p>
    <w:p w14:paraId="1081F692" w14:textId="64DD0B9D" w:rsidR="00321AEC" w:rsidRDefault="00321AEC">
      <w:pPr>
        <w:rPr>
          <w:i/>
          <w:iCs w:val="0"/>
        </w:rPr>
      </w:pPr>
    </w:p>
    <w:p w14:paraId="253FD485" w14:textId="771BDCBF" w:rsidR="00F52CEC" w:rsidRDefault="004A2460">
      <w:pPr>
        <w:rPr>
          <w:rFonts w:eastAsia="Times New Roman"/>
          <w:iCs w:val="0"/>
        </w:rPr>
      </w:pPr>
      <w:r>
        <w:lastRenderedPageBreak/>
        <w:t xml:space="preserve">In his 1989 </w:t>
      </w:r>
      <w:hyperlink r:id="rId9" w:history="1">
        <w:r w:rsidRPr="00B12A77">
          <w:rPr>
            <w:rStyle w:val="Hyperlink"/>
          </w:rPr>
          <w:t>Report to the Attorney General on Federal Criminal Code Reform</w:t>
        </w:r>
      </w:hyperlink>
      <w:r>
        <w:t>, Ronald Gainer (a member of the District of Columbia Bar who had worked within the Department of Justice) estimated that “</w:t>
      </w:r>
      <w:r w:rsidRPr="004A2460">
        <w:rPr>
          <w:rFonts w:eastAsia="Times New Roman"/>
          <w:iCs w:val="0"/>
        </w:rPr>
        <w:t>there appear approximately 3,000 separate provisions that carry criminal sanctions for their violation</w:t>
      </w:r>
      <w:r>
        <w:rPr>
          <w:rFonts w:eastAsia="Times New Roman"/>
          <w:iCs w:val="0"/>
        </w:rPr>
        <w:t>” (110).</w:t>
      </w:r>
      <w:r w:rsidR="00F52CEC">
        <w:rPr>
          <w:rFonts w:eastAsia="Times New Roman"/>
          <w:iCs w:val="0"/>
        </w:rPr>
        <w:t xml:space="preserve"> A 2004 </w:t>
      </w:r>
      <w:hyperlink r:id="rId10" w:history="1">
        <w:r w:rsidR="007734EB">
          <w:rPr>
            <w:rStyle w:val="Hyperlink"/>
            <w:rFonts w:eastAsia="Times New Roman"/>
            <w:iCs w:val="0"/>
          </w:rPr>
          <w:t>study</w:t>
        </w:r>
      </w:hyperlink>
      <w:r w:rsidR="00F52CEC">
        <w:rPr>
          <w:rFonts w:eastAsia="Times New Roman"/>
          <w:iCs w:val="0"/>
        </w:rPr>
        <w:t xml:space="preserve"> by the Federalist Society </w:t>
      </w:r>
      <w:r w:rsidR="007734EB">
        <w:rPr>
          <w:rFonts w:eastAsia="Times New Roman"/>
          <w:iCs w:val="0"/>
        </w:rPr>
        <w:t>reported</w:t>
      </w:r>
      <w:r w:rsidR="00F52CEC">
        <w:rPr>
          <w:rFonts w:eastAsia="Times New Roman"/>
          <w:iCs w:val="0"/>
        </w:rPr>
        <w:t xml:space="preserve"> a one-third increase in this number as of the early 2000s</w:t>
      </w:r>
      <w:r w:rsidR="00C9446A">
        <w:rPr>
          <w:rFonts w:eastAsia="Times New Roman"/>
          <w:iCs w:val="0"/>
        </w:rPr>
        <w:t xml:space="preserve"> – “over 4,000 offenses that carry criminal penalties” (23).</w:t>
      </w:r>
      <w:r w:rsidR="00717F79">
        <w:rPr>
          <w:rFonts w:eastAsia="Times New Roman"/>
          <w:iCs w:val="0"/>
        </w:rPr>
        <w:t xml:space="preserve"> In 2008, the Heritage Foundation </w:t>
      </w:r>
      <w:hyperlink r:id="rId11" w:history="1">
        <w:r w:rsidR="00717F79" w:rsidRPr="0044623C">
          <w:rPr>
            <w:rStyle w:val="Hyperlink"/>
            <w:rFonts w:eastAsia="Times New Roman"/>
            <w:iCs w:val="0"/>
          </w:rPr>
          <w:t>updated</w:t>
        </w:r>
      </w:hyperlink>
      <w:r w:rsidR="00717F79">
        <w:rPr>
          <w:rFonts w:eastAsia="Times New Roman"/>
          <w:iCs w:val="0"/>
        </w:rPr>
        <w:t xml:space="preserve"> this number to show that at least 4,450 federal crimes</w:t>
      </w:r>
      <w:r w:rsidR="0044623C">
        <w:rPr>
          <w:rFonts w:eastAsia="Times New Roman"/>
          <w:iCs w:val="0"/>
        </w:rPr>
        <w:t xml:space="preserve"> existed.</w:t>
      </w:r>
    </w:p>
    <w:p w14:paraId="2727B750" w14:textId="39B04D55" w:rsidR="009E754D" w:rsidRDefault="009E754D">
      <w:pPr>
        <w:rPr>
          <w:rFonts w:eastAsia="Times New Roman"/>
          <w:iCs w:val="0"/>
        </w:rPr>
      </w:pPr>
    </w:p>
    <w:p w14:paraId="754CF733" w14:textId="77777777" w:rsidR="00D10F26" w:rsidRDefault="009E754D">
      <w:pPr>
        <w:rPr>
          <w:rFonts w:eastAsia="Times New Roman"/>
          <w:iCs w:val="0"/>
        </w:rPr>
      </w:pPr>
      <w:r>
        <w:rPr>
          <w:rFonts w:eastAsia="Times New Roman"/>
          <w:iCs w:val="0"/>
        </w:rPr>
        <w:t xml:space="preserve">These numbers </w:t>
      </w:r>
      <w:r w:rsidR="001E7B10">
        <w:rPr>
          <w:rFonts w:eastAsia="Times New Roman"/>
          <w:iCs w:val="0"/>
        </w:rPr>
        <w:t>back up Boudin’s claim that there are “thousands and thousands” of different actions that can be considered criminal behavior</w:t>
      </w:r>
      <w:r w:rsidR="00274308">
        <w:rPr>
          <w:rFonts w:eastAsia="Times New Roman"/>
          <w:iCs w:val="0"/>
        </w:rPr>
        <w:t xml:space="preserve"> in the United States</w:t>
      </w:r>
      <w:r w:rsidR="00BC4B86">
        <w:rPr>
          <w:rFonts w:eastAsia="Times New Roman"/>
          <w:iCs w:val="0"/>
        </w:rPr>
        <w:t>, just under federal law.</w:t>
      </w:r>
      <w:r w:rsidR="001C6571">
        <w:rPr>
          <w:rFonts w:eastAsia="Times New Roman"/>
          <w:iCs w:val="0"/>
        </w:rPr>
        <w:t xml:space="preserve"> </w:t>
      </w:r>
      <w:r w:rsidR="00B31E75">
        <w:rPr>
          <w:rFonts w:eastAsia="Times New Roman"/>
          <w:iCs w:val="0"/>
        </w:rPr>
        <w:t xml:space="preserve">But the second part of his claim, which </w:t>
      </w:r>
      <w:r w:rsidR="00CD3A4D">
        <w:rPr>
          <w:rFonts w:eastAsia="Times New Roman"/>
          <w:iCs w:val="0"/>
        </w:rPr>
        <w:t>suggests that almost all the crimes are linked to punishments involving incarceration</w:t>
      </w:r>
      <w:r w:rsidR="002721AD">
        <w:rPr>
          <w:rFonts w:eastAsia="Times New Roman"/>
          <w:iCs w:val="0"/>
        </w:rPr>
        <w:t>, is less certain.</w:t>
      </w:r>
    </w:p>
    <w:p w14:paraId="3465164D" w14:textId="77777777" w:rsidR="00D10F26" w:rsidRDefault="00D10F26">
      <w:pPr>
        <w:rPr>
          <w:rFonts w:eastAsia="Times New Roman"/>
          <w:iCs w:val="0"/>
        </w:rPr>
      </w:pPr>
    </w:p>
    <w:p w14:paraId="4864105C" w14:textId="4F29F424" w:rsidR="007E26BF" w:rsidRDefault="009078EF">
      <w:pPr>
        <w:rPr>
          <w:rFonts w:eastAsia="Times New Roman"/>
          <w:iCs w:val="0"/>
        </w:rPr>
      </w:pPr>
      <w:r>
        <w:rPr>
          <w:rFonts w:eastAsia="Times New Roman"/>
          <w:iCs w:val="0"/>
        </w:rPr>
        <w:t xml:space="preserve">According to the </w:t>
      </w:r>
      <w:hyperlink r:id="rId12" w:history="1">
        <w:r w:rsidRPr="000564D3">
          <w:rPr>
            <w:rStyle w:val="Hyperlink"/>
            <w:rFonts w:eastAsia="Times New Roman"/>
            <w:iCs w:val="0"/>
          </w:rPr>
          <w:t>National Conference of State Legislatures</w:t>
        </w:r>
      </w:hyperlink>
      <w:r>
        <w:rPr>
          <w:rFonts w:eastAsia="Times New Roman"/>
          <w:iCs w:val="0"/>
        </w:rPr>
        <w:t>, vi</w:t>
      </w:r>
      <w:r w:rsidR="00D10F26">
        <w:rPr>
          <w:rFonts w:eastAsia="Times New Roman"/>
          <w:iCs w:val="0"/>
        </w:rPr>
        <w:t>olations of criminal statutes can take the form of infractions, violations, misdemeanors, or felonies. The former two types of action</w:t>
      </w:r>
      <w:r w:rsidR="009C1799">
        <w:rPr>
          <w:rFonts w:eastAsia="Times New Roman"/>
          <w:iCs w:val="0"/>
        </w:rPr>
        <w:t>s</w:t>
      </w:r>
      <w:r w:rsidR="00D10F26">
        <w:rPr>
          <w:rFonts w:eastAsia="Times New Roman"/>
          <w:iCs w:val="0"/>
        </w:rPr>
        <w:t xml:space="preserve"> can </w:t>
      </w:r>
      <w:r w:rsidR="00F57B32">
        <w:rPr>
          <w:rFonts w:eastAsia="Times New Roman"/>
          <w:iCs w:val="0"/>
        </w:rPr>
        <w:t>lead to</w:t>
      </w:r>
      <w:r w:rsidR="00D10F26">
        <w:rPr>
          <w:rFonts w:eastAsia="Times New Roman"/>
          <w:iCs w:val="0"/>
        </w:rPr>
        <w:t xml:space="preserve"> fine</w:t>
      </w:r>
      <w:r w:rsidR="00F57B32">
        <w:rPr>
          <w:rFonts w:eastAsia="Times New Roman"/>
          <w:iCs w:val="0"/>
        </w:rPr>
        <w:t>s but no incarceration</w:t>
      </w:r>
      <w:r w:rsidR="00D10F26">
        <w:rPr>
          <w:rFonts w:eastAsia="Times New Roman"/>
          <w:iCs w:val="0"/>
        </w:rPr>
        <w:t xml:space="preserve">, while the latter two may </w:t>
      </w:r>
      <w:r w:rsidR="0056520D">
        <w:rPr>
          <w:rFonts w:eastAsia="Times New Roman"/>
          <w:iCs w:val="0"/>
        </w:rPr>
        <w:t xml:space="preserve">be </w:t>
      </w:r>
      <w:r w:rsidR="00D10F26">
        <w:rPr>
          <w:rFonts w:eastAsia="Times New Roman"/>
          <w:iCs w:val="0"/>
        </w:rPr>
        <w:t>(though aren’t always</w:t>
      </w:r>
      <w:r w:rsidR="0056520D">
        <w:rPr>
          <w:rFonts w:eastAsia="Times New Roman"/>
          <w:iCs w:val="0"/>
        </w:rPr>
        <w:t xml:space="preserve">) </w:t>
      </w:r>
      <w:r w:rsidR="00D57010">
        <w:rPr>
          <w:rFonts w:eastAsia="Times New Roman"/>
          <w:iCs w:val="0"/>
        </w:rPr>
        <w:t>punished by jail or prison time.</w:t>
      </w:r>
    </w:p>
    <w:p w14:paraId="1787F188" w14:textId="5549A9D3" w:rsidR="003F5609" w:rsidRDefault="003F5609">
      <w:pPr>
        <w:rPr>
          <w:rFonts w:eastAsia="Times New Roman"/>
          <w:iCs w:val="0"/>
        </w:rPr>
      </w:pPr>
    </w:p>
    <w:p w14:paraId="55ABD2A7" w14:textId="3E1D61B5" w:rsidR="00F62ED7" w:rsidRDefault="003F5609" w:rsidP="003F5609">
      <w:pPr>
        <w:rPr>
          <w:rFonts w:eastAsia="Times New Roman"/>
          <w:iCs w:val="0"/>
        </w:rPr>
      </w:pPr>
      <w:r>
        <w:rPr>
          <w:rFonts w:eastAsia="Times New Roman"/>
          <w:iCs w:val="0"/>
        </w:rPr>
        <w:t xml:space="preserve">Approximately </w:t>
      </w:r>
      <w:hyperlink r:id="rId13" w:history="1">
        <w:r w:rsidRPr="00DE6E20">
          <w:rPr>
            <w:rStyle w:val="Hyperlink"/>
            <w:rFonts w:eastAsia="Times New Roman"/>
            <w:iCs w:val="0"/>
          </w:rPr>
          <w:t>1,700</w:t>
        </w:r>
      </w:hyperlink>
      <w:r>
        <w:rPr>
          <w:rFonts w:eastAsia="Times New Roman"/>
          <w:iCs w:val="0"/>
        </w:rPr>
        <w:t xml:space="preserve"> of the 3,000 provisions identified in Gainer’s report “</w:t>
      </w:r>
      <w:r w:rsidRPr="003F5609">
        <w:rPr>
          <w:rFonts w:eastAsia="Times New Roman"/>
          <w:iCs w:val="0"/>
        </w:rPr>
        <w:t>penalize conduct that involves only a minor infraction of regulatory requirements</w:t>
      </w:r>
      <w:r>
        <w:rPr>
          <w:rFonts w:eastAsia="Times New Roman"/>
          <w:iCs w:val="0"/>
        </w:rPr>
        <w:t xml:space="preserve">” – meaning that </w:t>
      </w:r>
      <w:r w:rsidR="00C9468B">
        <w:rPr>
          <w:rFonts w:eastAsia="Times New Roman"/>
          <w:iCs w:val="0"/>
        </w:rPr>
        <w:t xml:space="preserve">more than half of the </w:t>
      </w:r>
      <w:r w:rsidR="00660C30">
        <w:rPr>
          <w:rFonts w:eastAsia="Times New Roman"/>
          <w:iCs w:val="0"/>
        </w:rPr>
        <w:t xml:space="preserve">original set of provisions may carry a less severe punishment than incarceration. While it is unclear how high this number is in the context of the modern estimates outlined above, it is </w:t>
      </w:r>
      <w:r w:rsidR="000F636D">
        <w:rPr>
          <w:rFonts w:eastAsia="Times New Roman"/>
          <w:iCs w:val="0"/>
        </w:rPr>
        <w:t>obvious</w:t>
      </w:r>
      <w:r w:rsidR="00660C30">
        <w:rPr>
          <w:rFonts w:eastAsia="Times New Roman"/>
          <w:iCs w:val="0"/>
        </w:rPr>
        <w:t xml:space="preserve"> that </w:t>
      </w:r>
      <w:r w:rsidR="00585FD4">
        <w:rPr>
          <w:rFonts w:eastAsia="Times New Roman"/>
          <w:iCs w:val="0"/>
        </w:rPr>
        <w:t>a large subset of criminalized conduct is punished through means other than incarceration.</w:t>
      </w:r>
    </w:p>
    <w:p w14:paraId="61FDBB71" w14:textId="77777777" w:rsidR="00F62ED7" w:rsidRDefault="00F62ED7" w:rsidP="003F5609">
      <w:pPr>
        <w:rPr>
          <w:rFonts w:eastAsia="Times New Roman"/>
          <w:iCs w:val="0"/>
        </w:rPr>
      </w:pPr>
    </w:p>
    <w:p w14:paraId="30F041A0" w14:textId="019E72DD" w:rsidR="002A45BA" w:rsidRPr="008D35AD" w:rsidRDefault="00F62ED7" w:rsidP="008D35AD">
      <w:pPr>
        <w:rPr>
          <w:rFonts w:eastAsia="Times New Roman"/>
          <w:iCs w:val="0"/>
        </w:rPr>
      </w:pPr>
      <w:r w:rsidRPr="002D0C97">
        <w:rPr>
          <w:rFonts w:eastAsia="Times New Roman"/>
          <w:b/>
          <w:bCs/>
          <w:iCs w:val="0"/>
        </w:rPr>
        <w:t xml:space="preserve">This clarification </w:t>
      </w:r>
      <w:r w:rsidR="008D35AD" w:rsidRPr="002D0C97">
        <w:rPr>
          <w:rFonts w:eastAsia="Times New Roman"/>
          <w:b/>
          <w:bCs/>
          <w:iCs w:val="0"/>
        </w:rPr>
        <w:t xml:space="preserve">makes Boudin’s claim about </w:t>
      </w:r>
      <w:r w:rsidR="00FE55C9">
        <w:rPr>
          <w:rFonts w:eastAsia="Times New Roman"/>
          <w:b/>
          <w:bCs/>
          <w:iCs w:val="0"/>
        </w:rPr>
        <w:t>punishments</w:t>
      </w:r>
      <w:r w:rsidR="008D35AD">
        <w:rPr>
          <w:rFonts w:eastAsia="Times New Roman"/>
          <w:iCs w:val="0"/>
        </w:rPr>
        <w:t xml:space="preserve"> </w:t>
      </w:r>
      <w:r w:rsidR="008D35AD">
        <w:rPr>
          <w:rFonts w:eastAsia="Times New Roman"/>
          <w:b/>
          <w:bCs/>
          <w:iCs w:val="0"/>
        </w:rPr>
        <w:t>half-true</w:t>
      </w:r>
      <w:r w:rsidR="002D0C97">
        <w:rPr>
          <w:rFonts w:eastAsia="Times New Roman"/>
          <w:iCs w:val="0"/>
        </w:rPr>
        <w:t>.</w:t>
      </w:r>
      <w:r w:rsidR="008D35AD">
        <w:rPr>
          <w:rFonts w:eastAsia="Times New Roman"/>
          <w:iCs w:val="0"/>
        </w:rPr>
        <w:t xml:space="preserve"> </w:t>
      </w:r>
      <w:r w:rsidR="002D0C97">
        <w:rPr>
          <w:rFonts w:eastAsia="Times New Roman"/>
          <w:iCs w:val="0"/>
        </w:rPr>
        <w:t>I</w:t>
      </w:r>
      <w:r w:rsidR="008D35AD">
        <w:rPr>
          <w:rFonts w:eastAsia="Times New Roman"/>
          <w:iCs w:val="0"/>
        </w:rPr>
        <w:t xml:space="preserve">f he </w:t>
      </w:r>
      <w:r w:rsidR="00B61D6F">
        <w:rPr>
          <w:rFonts w:eastAsia="Times New Roman"/>
          <w:iCs w:val="0"/>
        </w:rPr>
        <w:t>had made a more specific assertion about incarceration in the case of felonies and misdemeanor</w:t>
      </w:r>
      <w:r w:rsidR="00A93407">
        <w:rPr>
          <w:rFonts w:eastAsia="Times New Roman"/>
          <w:iCs w:val="0"/>
        </w:rPr>
        <w:t xml:space="preserve">s, </w:t>
      </w:r>
      <w:r w:rsidR="009D65C0">
        <w:rPr>
          <w:rFonts w:eastAsia="Times New Roman"/>
          <w:iCs w:val="0"/>
        </w:rPr>
        <w:t>h</w:t>
      </w:r>
      <w:r w:rsidR="00706B15">
        <w:rPr>
          <w:rFonts w:eastAsia="Times New Roman"/>
          <w:iCs w:val="0"/>
        </w:rPr>
        <w:t>is statement</w:t>
      </w:r>
      <w:r w:rsidR="00A93407">
        <w:rPr>
          <w:rFonts w:eastAsia="Times New Roman"/>
          <w:iCs w:val="0"/>
        </w:rPr>
        <w:t xml:space="preserve"> would have </w:t>
      </w:r>
      <w:r w:rsidR="008614C4">
        <w:rPr>
          <w:rFonts w:eastAsia="Times New Roman"/>
          <w:iCs w:val="0"/>
        </w:rPr>
        <w:t>been</w:t>
      </w:r>
      <w:r w:rsidR="00A93407">
        <w:rPr>
          <w:rFonts w:eastAsia="Times New Roman"/>
          <w:iCs w:val="0"/>
        </w:rPr>
        <w:t xml:space="preserve"> closer to </w:t>
      </w:r>
      <w:r w:rsidR="008C008A">
        <w:rPr>
          <w:rFonts w:eastAsia="Times New Roman"/>
          <w:iCs w:val="0"/>
        </w:rPr>
        <w:t>reality.</w:t>
      </w:r>
      <w:r w:rsidR="00A93407">
        <w:rPr>
          <w:rFonts w:eastAsia="Times New Roman"/>
          <w:iCs w:val="0"/>
        </w:rPr>
        <w:t xml:space="preserve"> </w:t>
      </w:r>
    </w:p>
    <w:p w14:paraId="662370EB" w14:textId="78AFDA75" w:rsidR="00052776" w:rsidRDefault="00052776"/>
    <w:p w14:paraId="0D5CBAB6" w14:textId="27F734E5" w:rsidR="00052776" w:rsidRDefault="00052776">
      <w:pPr>
        <w:rPr>
          <w:i/>
          <w:iCs w:val="0"/>
        </w:rPr>
      </w:pPr>
      <w:r w:rsidRPr="00CE64C4">
        <w:rPr>
          <w:i/>
          <w:iCs w:val="0"/>
        </w:rPr>
        <w:t>“This is the first time in, in really any of our lifetimes when there’s a national consensus that the tough on crime status quo is not working to keep us safe.”</w:t>
      </w:r>
      <w:r w:rsidR="009960C8">
        <w:rPr>
          <w:i/>
          <w:iCs w:val="0"/>
        </w:rPr>
        <w:t xml:space="preserve"> (3:36-3:44)</w:t>
      </w:r>
    </w:p>
    <w:p w14:paraId="17A680B7" w14:textId="69A4B90E" w:rsidR="009E754D" w:rsidRDefault="009E754D">
      <w:pPr>
        <w:rPr>
          <w:i/>
          <w:iCs w:val="0"/>
        </w:rPr>
      </w:pPr>
    </w:p>
    <w:p w14:paraId="4511DB04" w14:textId="04AEAEFB" w:rsidR="00156D9C" w:rsidRDefault="004C5B54">
      <w:r>
        <w:t xml:space="preserve">This statement is a bit more difficult to quantify. </w:t>
      </w:r>
      <w:r w:rsidR="00E62534">
        <w:t>To start, the</w:t>
      </w:r>
      <w:r w:rsidR="004264B7">
        <w:t xml:space="preserve"> </w:t>
      </w:r>
      <w:r w:rsidR="004343B0">
        <w:t xml:space="preserve">“tough on crime status quo” </w:t>
      </w:r>
      <w:r w:rsidR="00E62534">
        <w:t>can</w:t>
      </w:r>
      <w:r w:rsidR="009561D3">
        <w:t xml:space="preserve"> </w:t>
      </w:r>
      <w:r w:rsidR="000A4213">
        <w:t xml:space="preserve">probably </w:t>
      </w:r>
      <w:r w:rsidR="009561D3">
        <w:t>be taken as</w:t>
      </w:r>
      <w:r w:rsidR="004343B0">
        <w:t xml:space="preserve"> a </w:t>
      </w:r>
      <w:r w:rsidR="00264605">
        <w:t xml:space="preserve">reference to </w:t>
      </w:r>
      <w:r w:rsidR="00B20767">
        <w:t xml:space="preserve">local, state, and </w:t>
      </w:r>
      <w:r w:rsidR="004323A3">
        <w:t>federal</w:t>
      </w:r>
      <w:r w:rsidR="00B20767">
        <w:t xml:space="preserve"> </w:t>
      </w:r>
      <w:r w:rsidR="00264605">
        <w:t xml:space="preserve">policies </w:t>
      </w:r>
      <w:r w:rsidR="003226E3">
        <w:t xml:space="preserve">and </w:t>
      </w:r>
      <w:r w:rsidR="0030524C">
        <w:t xml:space="preserve">legal </w:t>
      </w:r>
      <w:r w:rsidR="003226E3">
        <w:t xml:space="preserve">practices </w:t>
      </w:r>
      <w:r w:rsidR="00264605">
        <w:t xml:space="preserve">that </w:t>
      </w:r>
      <w:r w:rsidR="001E5632">
        <w:t xml:space="preserve">reflect approaches to criminal justice </w:t>
      </w:r>
      <w:hyperlink r:id="rId14" w:history="1">
        <w:r w:rsidR="001E5632" w:rsidRPr="000E0CC8">
          <w:rPr>
            <w:rStyle w:val="Hyperlink"/>
          </w:rPr>
          <w:t>espoused</w:t>
        </w:r>
      </w:hyperlink>
      <w:r w:rsidR="001E5632">
        <w:t xml:space="preserve"> by </w:t>
      </w:r>
      <w:r w:rsidR="006D4BEA">
        <w:t xml:space="preserve">Richard </w:t>
      </w:r>
      <w:r w:rsidR="001E5632">
        <w:t xml:space="preserve">Nixon and </w:t>
      </w:r>
      <w:r w:rsidR="006D4BEA">
        <w:t xml:space="preserve">Ronald </w:t>
      </w:r>
      <w:r w:rsidR="001E5632">
        <w:t>Reagan</w:t>
      </w:r>
      <w:r w:rsidR="00264605">
        <w:t xml:space="preserve"> </w:t>
      </w:r>
      <w:r w:rsidR="00962B33">
        <w:t xml:space="preserve">in the 1970s and </w:t>
      </w:r>
      <w:r w:rsidR="00683F47">
        <w:t>8</w:t>
      </w:r>
      <w:r w:rsidR="00962B33">
        <w:t>0s</w:t>
      </w:r>
      <w:r w:rsidR="00C854EE">
        <w:t>.</w:t>
      </w:r>
      <w:r w:rsidR="007375A1">
        <w:t xml:space="preserve"> These approaches generally involved</w:t>
      </w:r>
      <w:r w:rsidR="00766AED">
        <w:t xml:space="preserve"> strict laws and</w:t>
      </w:r>
      <w:r w:rsidR="007375A1">
        <w:t xml:space="preserve"> harsh </w:t>
      </w:r>
      <w:r w:rsidR="00766AED">
        <w:t xml:space="preserve">sentencing, especially in response to </w:t>
      </w:r>
      <w:hyperlink r:id="rId15" w:history="1">
        <w:r w:rsidR="00766AED" w:rsidRPr="00757DCD">
          <w:rPr>
            <w:rStyle w:val="Hyperlink"/>
          </w:rPr>
          <w:t>drug use</w:t>
        </w:r>
      </w:hyperlink>
      <w:r w:rsidR="00766AED">
        <w:t>.</w:t>
      </w:r>
      <w:r w:rsidR="000E0CC8">
        <w:t xml:space="preserve"> They also played a role in the massive expansion of the prison population</w:t>
      </w:r>
    </w:p>
    <w:p w14:paraId="7E2E9705" w14:textId="5C64A728" w:rsidR="00156D9C" w:rsidRDefault="00156D9C"/>
    <w:p w14:paraId="5BFE562A" w14:textId="45E940A5" w:rsidR="004343B0" w:rsidRDefault="00065527" w:rsidP="00231F50">
      <w:r>
        <w:t xml:space="preserve">Boudin seems to be claiming that there exists a “national consensus” that these policies are not </w:t>
      </w:r>
      <w:r w:rsidR="001E14B6">
        <w:t>producing the desired effect</w:t>
      </w:r>
      <w:r w:rsidR="002F3702">
        <w:t xml:space="preserve"> of keeping us safe.</w:t>
      </w:r>
      <w:r w:rsidR="00FA5C3F">
        <w:t xml:space="preserve"> </w:t>
      </w:r>
      <w:r w:rsidR="00DB1726">
        <w:t>If this is the case, the</w:t>
      </w:r>
      <w:r w:rsidR="00FA5C3F">
        <w:t xml:space="preserve"> sentiment would likely be reflected in pub</w:t>
      </w:r>
      <w:r w:rsidR="00BA1913">
        <w:t>lic opinion polling</w:t>
      </w:r>
      <w:r w:rsidR="00231F50">
        <w:t xml:space="preserve"> indicating an opposition to</w:t>
      </w:r>
      <w:r w:rsidR="00CF4718">
        <w:t xml:space="preserve"> the continuation of these policies.</w:t>
      </w:r>
    </w:p>
    <w:p w14:paraId="2061C53F" w14:textId="61D8CA6A" w:rsidR="005941CE" w:rsidRDefault="005941CE" w:rsidP="00231F50"/>
    <w:p w14:paraId="54DA3E1E" w14:textId="6BAE13FB" w:rsidR="005941CE" w:rsidRDefault="00CA35B0" w:rsidP="00231F50">
      <w:r>
        <w:t>In early 2016, the</w:t>
      </w:r>
      <w:r w:rsidR="005941CE">
        <w:t xml:space="preserve"> </w:t>
      </w:r>
      <w:r w:rsidR="00624674">
        <w:t>Mellman</w:t>
      </w:r>
      <w:r w:rsidR="005941CE">
        <w:t xml:space="preserve"> Group and Public Opinion Strategies</w:t>
      </w:r>
      <w:r>
        <w:t xml:space="preserve"> conducted a </w:t>
      </w:r>
      <w:hyperlink r:id="rId16" w:history="1">
        <w:r w:rsidRPr="00D42575">
          <w:rPr>
            <w:rStyle w:val="Hyperlink"/>
          </w:rPr>
          <w:t>nationwide survey</w:t>
        </w:r>
      </w:hyperlink>
      <w:r>
        <w:t xml:space="preserve"> of 1,200 registered voters in which they asked several questions pertaining to voters’ perceptions of crime policies in the United States.</w:t>
      </w:r>
      <w:r w:rsidR="00B3329D">
        <w:t xml:space="preserve"> </w:t>
      </w:r>
      <w:r w:rsidR="00D42575">
        <w:t xml:space="preserve">They found that 79% of voters </w:t>
      </w:r>
      <w:r w:rsidR="003575B7">
        <w:t>preferred flexible (case-</w:t>
      </w:r>
      <w:r w:rsidR="003575B7">
        <w:lastRenderedPageBreak/>
        <w:t>specific) sentencing over mandatory</w:t>
      </w:r>
      <w:r w:rsidR="001138CC">
        <w:t xml:space="preserve"> minimums in drug cases</w:t>
      </w:r>
      <w:r w:rsidR="00C73553">
        <w:t>;</w:t>
      </w:r>
      <w:r w:rsidR="002A6DB1">
        <w:t xml:space="preserve"> moreover,</w:t>
      </w:r>
      <w:r w:rsidR="00D3200D">
        <w:t xml:space="preserve"> </w:t>
      </w:r>
      <w:r w:rsidR="002A6DB1">
        <w:t>only 20-30% of voters polled were in favor of a ten-year mandatory minimum sentence for drug couriers</w:t>
      </w:r>
      <w:r w:rsidR="007D6D0F">
        <w:t>, drug mules, and street</w:t>
      </w:r>
      <w:r w:rsidR="00597E81">
        <w:t xml:space="preserve"> </w:t>
      </w:r>
      <w:r w:rsidR="007D6D0F">
        <w:t>drug dealers</w:t>
      </w:r>
      <w:r w:rsidR="00597E81">
        <w:t xml:space="preserve"> (in contrast to 68% who supported such a sentence for a drug kingpin).</w:t>
      </w:r>
    </w:p>
    <w:p w14:paraId="06A7541D" w14:textId="7008B1F7" w:rsidR="0054192A" w:rsidRDefault="0054192A"/>
    <w:p w14:paraId="62A1E320" w14:textId="37EBC683" w:rsidR="00D6387F" w:rsidRPr="00D6387F" w:rsidRDefault="009C4BA7" w:rsidP="00D6387F">
      <w:r>
        <w:t xml:space="preserve">But </w:t>
      </w:r>
      <w:r w:rsidR="002A5BBE">
        <w:t xml:space="preserve">Gallup </w:t>
      </w:r>
      <w:hyperlink r:id="rId17" w:history="1">
        <w:r w:rsidR="002A5BBE" w:rsidRPr="009C4BA7">
          <w:rPr>
            <w:rStyle w:val="Hyperlink"/>
          </w:rPr>
          <w:t>polling</w:t>
        </w:r>
      </w:hyperlink>
      <w:r w:rsidR="002A5BBE">
        <w:t xml:space="preserve"> from late 2016 complicates this account, showing</w:t>
      </w:r>
      <w:r w:rsidR="00D6387F">
        <w:t xml:space="preserve"> </w:t>
      </w:r>
      <w:r w:rsidR="00B24E17">
        <w:t>that only</w:t>
      </w:r>
      <w:r w:rsidR="00D6387F">
        <w:t xml:space="preserve"> 38% of respondents believed that </w:t>
      </w:r>
      <w:r w:rsidR="00D6387F" w:rsidRPr="00D6387F">
        <w:t>current sentencing guidelines for people convicted of routine drug crimes are too tough</w:t>
      </w:r>
      <w:r w:rsidR="00112754">
        <w:t>.</w:t>
      </w:r>
      <w:r w:rsidR="00D8221D">
        <w:t xml:space="preserve"> On the other hand, 34% of respondents thought that guidelines are not tough enough, and 25% believed they were “about right”.</w:t>
      </w:r>
      <w:r w:rsidR="00D36BD5">
        <w:t xml:space="preserve"> This hardly screams “consensus”.</w:t>
      </w:r>
    </w:p>
    <w:p w14:paraId="1AC4193B" w14:textId="77777777" w:rsidR="002A5BBE" w:rsidRDefault="002A5BBE"/>
    <w:p w14:paraId="3BF39F30" w14:textId="2BB941F2" w:rsidR="00052776" w:rsidRPr="00FF6017" w:rsidRDefault="00581D0B">
      <w:r w:rsidRPr="00C678E6">
        <w:rPr>
          <w:b/>
          <w:bCs/>
        </w:rPr>
        <w:t xml:space="preserve">Taking these trends into account, Boudin’s </w:t>
      </w:r>
      <w:r w:rsidR="00A65A46" w:rsidRPr="00C678E6">
        <w:rPr>
          <w:b/>
          <w:bCs/>
        </w:rPr>
        <w:t>claim about a national consensus is somewhat true.</w:t>
      </w:r>
    </w:p>
    <w:sectPr w:rsidR="00052776" w:rsidRPr="00FF6017" w:rsidSect="00AF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76"/>
    <w:rsid w:val="00022764"/>
    <w:rsid w:val="00047ACB"/>
    <w:rsid w:val="00052776"/>
    <w:rsid w:val="000564D3"/>
    <w:rsid w:val="00065527"/>
    <w:rsid w:val="0008094A"/>
    <w:rsid w:val="000901C9"/>
    <w:rsid w:val="000A4213"/>
    <w:rsid w:val="000B7702"/>
    <w:rsid w:val="000D4D7A"/>
    <w:rsid w:val="000E0CC8"/>
    <w:rsid w:val="000E6549"/>
    <w:rsid w:val="000F0C67"/>
    <w:rsid w:val="000F636D"/>
    <w:rsid w:val="00101912"/>
    <w:rsid w:val="0010670D"/>
    <w:rsid w:val="00106CFC"/>
    <w:rsid w:val="00112754"/>
    <w:rsid w:val="001138CC"/>
    <w:rsid w:val="00121151"/>
    <w:rsid w:val="0013142A"/>
    <w:rsid w:val="0013778D"/>
    <w:rsid w:val="001377A6"/>
    <w:rsid w:val="00156D9C"/>
    <w:rsid w:val="001574A5"/>
    <w:rsid w:val="00161B8F"/>
    <w:rsid w:val="00187E53"/>
    <w:rsid w:val="001A337B"/>
    <w:rsid w:val="001C6571"/>
    <w:rsid w:val="001D21EC"/>
    <w:rsid w:val="001E14B6"/>
    <w:rsid w:val="001E5632"/>
    <w:rsid w:val="001E7B10"/>
    <w:rsid w:val="00203C94"/>
    <w:rsid w:val="0020518D"/>
    <w:rsid w:val="00221258"/>
    <w:rsid w:val="00224D3F"/>
    <w:rsid w:val="00231EF6"/>
    <w:rsid w:val="00231F50"/>
    <w:rsid w:val="0023666D"/>
    <w:rsid w:val="00236FFA"/>
    <w:rsid w:val="00264605"/>
    <w:rsid w:val="002721AD"/>
    <w:rsid w:val="00274308"/>
    <w:rsid w:val="00283CA8"/>
    <w:rsid w:val="002979BF"/>
    <w:rsid w:val="002A45BA"/>
    <w:rsid w:val="002A4DBA"/>
    <w:rsid w:val="002A5BBE"/>
    <w:rsid w:val="002A6DB1"/>
    <w:rsid w:val="002B503D"/>
    <w:rsid w:val="002C1EFB"/>
    <w:rsid w:val="002D0C97"/>
    <w:rsid w:val="002D745E"/>
    <w:rsid w:val="002F3702"/>
    <w:rsid w:val="00300C34"/>
    <w:rsid w:val="0030524C"/>
    <w:rsid w:val="00306105"/>
    <w:rsid w:val="00321AEC"/>
    <w:rsid w:val="003226E3"/>
    <w:rsid w:val="00325C61"/>
    <w:rsid w:val="00330420"/>
    <w:rsid w:val="00331BA0"/>
    <w:rsid w:val="003575B7"/>
    <w:rsid w:val="00384700"/>
    <w:rsid w:val="003E6440"/>
    <w:rsid w:val="003F5609"/>
    <w:rsid w:val="00400607"/>
    <w:rsid w:val="004024C0"/>
    <w:rsid w:val="00416727"/>
    <w:rsid w:val="0042178D"/>
    <w:rsid w:val="004264B7"/>
    <w:rsid w:val="004323A3"/>
    <w:rsid w:val="004343B0"/>
    <w:rsid w:val="0044623C"/>
    <w:rsid w:val="004554DF"/>
    <w:rsid w:val="00462E07"/>
    <w:rsid w:val="00464C75"/>
    <w:rsid w:val="004A2460"/>
    <w:rsid w:val="004C5B54"/>
    <w:rsid w:val="004C6B3C"/>
    <w:rsid w:val="004E4B0C"/>
    <w:rsid w:val="0052660E"/>
    <w:rsid w:val="00532D49"/>
    <w:rsid w:val="00535C5C"/>
    <w:rsid w:val="0054192A"/>
    <w:rsid w:val="00546881"/>
    <w:rsid w:val="00554F62"/>
    <w:rsid w:val="0056520D"/>
    <w:rsid w:val="00581D0B"/>
    <w:rsid w:val="00585FD4"/>
    <w:rsid w:val="005941CE"/>
    <w:rsid w:val="00597E81"/>
    <w:rsid w:val="005B2277"/>
    <w:rsid w:val="005D06B5"/>
    <w:rsid w:val="006239C3"/>
    <w:rsid w:val="00624674"/>
    <w:rsid w:val="00631362"/>
    <w:rsid w:val="00650131"/>
    <w:rsid w:val="00660C30"/>
    <w:rsid w:val="00661242"/>
    <w:rsid w:val="00683F47"/>
    <w:rsid w:val="006D2BCF"/>
    <w:rsid w:val="006D4BEA"/>
    <w:rsid w:val="006E14FA"/>
    <w:rsid w:val="0070148C"/>
    <w:rsid w:val="00701ED3"/>
    <w:rsid w:val="00706B15"/>
    <w:rsid w:val="00707BA6"/>
    <w:rsid w:val="00717F79"/>
    <w:rsid w:val="00722A6E"/>
    <w:rsid w:val="007231DA"/>
    <w:rsid w:val="007375A1"/>
    <w:rsid w:val="0074295F"/>
    <w:rsid w:val="00743999"/>
    <w:rsid w:val="00757DCD"/>
    <w:rsid w:val="00766AED"/>
    <w:rsid w:val="007734EB"/>
    <w:rsid w:val="00791B67"/>
    <w:rsid w:val="007A730E"/>
    <w:rsid w:val="007D3ADC"/>
    <w:rsid w:val="007D5498"/>
    <w:rsid w:val="007D6D0F"/>
    <w:rsid w:val="007E26BF"/>
    <w:rsid w:val="007E59C7"/>
    <w:rsid w:val="008176BD"/>
    <w:rsid w:val="00823963"/>
    <w:rsid w:val="008264C1"/>
    <w:rsid w:val="00835553"/>
    <w:rsid w:val="00842DBC"/>
    <w:rsid w:val="008614C4"/>
    <w:rsid w:val="008B2C36"/>
    <w:rsid w:val="008B7B26"/>
    <w:rsid w:val="008C008A"/>
    <w:rsid w:val="008D35AD"/>
    <w:rsid w:val="008D6277"/>
    <w:rsid w:val="00904D80"/>
    <w:rsid w:val="009078EF"/>
    <w:rsid w:val="00935C2F"/>
    <w:rsid w:val="0094046D"/>
    <w:rsid w:val="009561D3"/>
    <w:rsid w:val="00962B33"/>
    <w:rsid w:val="009960C8"/>
    <w:rsid w:val="009C1799"/>
    <w:rsid w:val="009C4BA7"/>
    <w:rsid w:val="009C5E7F"/>
    <w:rsid w:val="009C69EC"/>
    <w:rsid w:val="009C7E6E"/>
    <w:rsid w:val="009D65C0"/>
    <w:rsid w:val="009E754D"/>
    <w:rsid w:val="009F4291"/>
    <w:rsid w:val="00A00434"/>
    <w:rsid w:val="00A014A4"/>
    <w:rsid w:val="00A04231"/>
    <w:rsid w:val="00A10695"/>
    <w:rsid w:val="00A33974"/>
    <w:rsid w:val="00A56A7B"/>
    <w:rsid w:val="00A62CCD"/>
    <w:rsid w:val="00A65A46"/>
    <w:rsid w:val="00A93407"/>
    <w:rsid w:val="00AF0002"/>
    <w:rsid w:val="00AF2077"/>
    <w:rsid w:val="00AF35F8"/>
    <w:rsid w:val="00AF3992"/>
    <w:rsid w:val="00B0752C"/>
    <w:rsid w:val="00B12A77"/>
    <w:rsid w:val="00B20767"/>
    <w:rsid w:val="00B24E17"/>
    <w:rsid w:val="00B31E75"/>
    <w:rsid w:val="00B3329D"/>
    <w:rsid w:val="00B3404E"/>
    <w:rsid w:val="00B44F97"/>
    <w:rsid w:val="00B54272"/>
    <w:rsid w:val="00B54556"/>
    <w:rsid w:val="00B55DB9"/>
    <w:rsid w:val="00B61054"/>
    <w:rsid w:val="00B61D6F"/>
    <w:rsid w:val="00B8613E"/>
    <w:rsid w:val="00B94A9F"/>
    <w:rsid w:val="00BA1913"/>
    <w:rsid w:val="00BC3847"/>
    <w:rsid w:val="00BC4B86"/>
    <w:rsid w:val="00BC739C"/>
    <w:rsid w:val="00C34982"/>
    <w:rsid w:val="00C42477"/>
    <w:rsid w:val="00C47A1C"/>
    <w:rsid w:val="00C52D7C"/>
    <w:rsid w:val="00C5386F"/>
    <w:rsid w:val="00C6691A"/>
    <w:rsid w:val="00C678E6"/>
    <w:rsid w:val="00C73553"/>
    <w:rsid w:val="00C854EE"/>
    <w:rsid w:val="00C9446A"/>
    <w:rsid w:val="00C9468B"/>
    <w:rsid w:val="00CA35B0"/>
    <w:rsid w:val="00CA3CB3"/>
    <w:rsid w:val="00CA5B89"/>
    <w:rsid w:val="00CD1492"/>
    <w:rsid w:val="00CD2EA5"/>
    <w:rsid w:val="00CD3A4D"/>
    <w:rsid w:val="00CE2B23"/>
    <w:rsid w:val="00CE4688"/>
    <w:rsid w:val="00CE64C4"/>
    <w:rsid w:val="00CF4718"/>
    <w:rsid w:val="00CF72BF"/>
    <w:rsid w:val="00CF789D"/>
    <w:rsid w:val="00D1017D"/>
    <w:rsid w:val="00D10F26"/>
    <w:rsid w:val="00D3200D"/>
    <w:rsid w:val="00D33A2D"/>
    <w:rsid w:val="00D36BD5"/>
    <w:rsid w:val="00D42575"/>
    <w:rsid w:val="00D57010"/>
    <w:rsid w:val="00D6387F"/>
    <w:rsid w:val="00D8221D"/>
    <w:rsid w:val="00DB1726"/>
    <w:rsid w:val="00DE6E20"/>
    <w:rsid w:val="00E227A7"/>
    <w:rsid w:val="00E42117"/>
    <w:rsid w:val="00E53F5F"/>
    <w:rsid w:val="00E62534"/>
    <w:rsid w:val="00E747F5"/>
    <w:rsid w:val="00E75850"/>
    <w:rsid w:val="00E87B8A"/>
    <w:rsid w:val="00EA622A"/>
    <w:rsid w:val="00EA7CD9"/>
    <w:rsid w:val="00EB49A2"/>
    <w:rsid w:val="00EB59B7"/>
    <w:rsid w:val="00EB5B09"/>
    <w:rsid w:val="00EC1892"/>
    <w:rsid w:val="00EE7F15"/>
    <w:rsid w:val="00F409E0"/>
    <w:rsid w:val="00F52CEC"/>
    <w:rsid w:val="00F55A6C"/>
    <w:rsid w:val="00F57B32"/>
    <w:rsid w:val="00F62ED7"/>
    <w:rsid w:val="00F73974"/>
    <w:rsid w:val="00F80327"/>
    <w:rsid w:val="00FA5C3F"/>
    <w:rsid w:val="00FA5E48"/>
    <w:rsid w:val="00FD6449"/>
    <w:rsid w:val="00FE55C9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8F082"/>
  <w15:chartTrackingRefBased/>
  <w15:docId w15:val="{DDD68BE2-7A8B-5142-BF00-00627045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7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D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pdf/10.1177/2378023119829332" TargetMode="External"/><Relationship Id="rId13" Type="http://schemas.openxmlformats.org/officeDocument/2006/relationships/hyperlink" Target="https://link.springer.com/content/pdf/10.1007/BF01096585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nsus.gov/quickfacts/fact/table/US/PST045218" TargetMode="External"/><Relationship Id="rId12" Type="http://schemas.openxmlformats.org/officeDocument/2006/relationships/hyperlink" Target="http://www.ncsl.org/research/civil-and-criminal-justice/misdemeanor-sentencing-trends.aspx" TargetMode="External"/><Relationship Id="rId17" Type="http://schemas.openxmlformats.org/officeDocument/2006/relationships/hyperlink" Target="https://news.gallup.com/poll/1603/crime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wtrusts.org/~/media/assets/2016/02/national_survey_key_findings_federal_sentencing_prison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rysecond.fwd.us/downloads/EverySecond.fwd.us.pdf" TargetMode="External"/><Relationship Id="rId11" Type="http://schemas.openxmlformats.org/officeDocument/2006/relationships/hyperlink" Target="https://www.heritage.org/report/revisiting-the-explosive-growth-federal-crimes" TargetMode="External"/><Relationship Id="rId5" Type="http://schemas.openxmlformats.org/officeDocument/2006/relationships/hyperlink" Target="https://www.latimes.com/opinion/op-ed/la-oe-boudin-incarceration-criminal-justice-reform-20190407-story.html" TargetMode="External"/><Relationship Id="rId15" Type="http://schemas.openxmlformats.org/officeDocument/2006/relationships/hyperlink" Target="http://www.drugpolicy.org/issues/brief-history-drug-war" TargetMode="External"/><Relationship Id="rId10" Type="http://schemas.openxmlformats.org/officeDocument/2006/relationships/hyperlink" Target="https://fedsoc-cms-public.s3.amazonaws.com/update/pdf/BNvfVKmeVXx9uulnQbIvKotdpzytrAliLKLilhaX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NowThisNews/videos/381644256121631/" TargetMode="External"/><Relationship Id="rId9" Type="http://schemas.openxmlformats.org/officeDocument/2006/relationships/hyperlink" Target="https://link.springer.com/content/pdf/10.1007/BF01096585.pdf" TargetMode="External"/><Relationship Id="rId14" Type="http://schemas.openxmlformats.org/officeDocument/2006/relationships/hyperlink" Target="http://scholarship.law.berkeley.edu/cgi/viewcontent.cgi?article=1014&amp;context=bja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Reya</dc:creator>
  <cp:keywords/>
  <dc:description/>
  <cp:lastModifiedBy>Remy Reya</cp:lastModifiedBy>
  <cp:revision>273</cp:revision>
  <dcterms:created xsi:type="dcterms:W3CDTF">2019-10-15T03:11:00Z</dcterms:created>
  <dcterms:modified xsi:type="dcterms:W3CDTF">2020-01-16T20:18:00Z</dcterms:modified>
</cp:coreProperties>
</file>